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Základní směrnice organizace pro naplnění dlouhodobých cílů</w:t>
      </w:r>
    </w:p>
    <w:p>
      <w:r>
        <w:t>Tyto směrnice definují základní pravidla a hodnoty, kterými se organizace a její partneři řídí při naplňování dlouhodobých cílů v oblastech inkluze, vzdělávání, sportu, komunitního rozvoje a udržitelnosti.</w:t>
      </w:r>
    </w:p>
    <w:p>
      <w:pPr>
        <w:pStyle w:val="Heading2"/>
      </w:pPr>
      <w:r>
        <w:t>1. Inkluze a rovné příležitosti</w:t>
      </w:r>
    </w:p>
    <w:p>
      <w:pPr>
        <w:pStyle w:val="ListBullet"/>
      </w:pPr>
      <w:r>
        <w:t>Zajištění rovných podmínek pro všechny bez rozdílu pohlaví, věku, etnického původu, sociálního statusu nebo zdravotního stavu.</w:t>
      </w:r>
    </w:p>
    <w:p>
      <w:pPr>
        <w:pStyle w:val="ListBullet"/>
      </w:pPr>
      <w:r>
        <w:t>Aktivní zapojení znevýhodněných skupin do všech aktivit organizace.</w:t>
      </w:r>
    </w:p>
    <w:p>
      <w:pPr>
        <w:pStyle w:val="ListBullet"/>
      </w:pPr>
      <w:r>
        <w:t>Vytváření bezpečného, podporujícího a respektujícího prostředí pro děti, mládež i dospělé.</w:t>
      </w:r>
    </w:p>
    <w:p>
      <w:pPr>
        <w:pStyle w:val="Heading2"/>
      </w:pPr>
      <w:r>
        <w:t>2. Kvalitní vzdělávání a rozvoj</w:t>
      </w:r>
    </w:p>
    <w:p>
      <w:pPr>
        <w:pStyle w:val="ListBullet"/>
      </w:pPr>
      <w:r>
        <w:t>Podpora neformálního vzdělávání jako plnohodnotného nástroje osobního růstu.</w:t>
      </w:r>
    </w:p>
    <w:p>
      <w:pPr>
        <w:pStyle w:val="ListBullet"/>
      </w:pPr>
      <w:r>
        <w:t>Organizace školení, workshopů a mentoringu pro děti, mládež, trenéry a pracovníky.</w:t>
      </w:r>
    </w:p>
    <w:p>
      <w:pPr>
        <w:pStyle w:val="ListBullet"/>
      </w:pPr>
      <w:r>
        <w:t>Podpora získávání dovedností, které pomáhají v osobním i profesním životě.</w:t>
      </w:r>
    </w:p>
    <w:p>
      <w:pPr>
        <w:pStyle w:val="Heading2"/>
      </w:pPr>
      <w:r>
        <w:t>3. Sport pro všechny (Grassroots přístup)</w:t>
      </w:r>
    </w:p>
    <w:p>
      <w:pPr>
        <w:pStyle w:val="ListBullet"/>
      </w:pPr>
      <w:r>
        <w:t>Dostupnost sportu pro všechny bez ohledu na výkonnost nebo zázemí.</w:t>
      </w:r>
    </w:p>
    <w:p>
      <w:pPr>
        <w:pStyle w:val="ListBullet"/>
      </w:pPr>
      <w:r>
        <w:t>Rozvoj komunitních sportovních aktivit v duchu fair play a spolupráce.</w:t>
      </w:r>
    </w:p>
    <w:p>
      <w:pPr>
        <w:pStyle w:val="ListBullet"/>
      </w:pPr>
      <w:r>
        <w:t>Podpora trenérů v získávání kvalifikace a práce s různorodými skupinami.</w:t>
      </w:r>
    </w:p>
    <w:p>
      <w:pPr>
        <w:pStyle w:val="Heading2"/>
      </w:pPr>
      <w:r>
        <w:t>4. Dodržování etických a bezpečnostních standardů</w:t>
      </w:r>
    </w:p>
    <w:p>
      <w:pPr>
        <w:pStyle w:val="ListBullet"/>
      </w:pPr>
      <w:r>
        <w:t>Ochrana dětí a mladistvých před jakoukoli formou násilí, zneužívání a šikany.</w:t>
      </w:r>
    </w:p>
    <w:p>
      <w:pPr>
        <w:pStyle w:val="ListBullet"/>
      </w:pPr>
      <w:r>
        <w:t>Etické chování všech zástupců organizace a respekt ke všem účastníkům.</w:t>
      </w:r>
    </w:p>
    <w:p>
      <w:pPr>
        <w:pStyle w:val="ListBullet"/>
      </w:pPr>
      <w:r>
        <w:t>Transparentní komunikace, dodržování zákonů a vnitřních pravidel organizace.</w:t>
      </w:r>
    </w:p>
    <w:p>
      <w:pPr>
        <w:pStyle w:val="Heading2"/>
      </w:pPr>
      <w:r>
        <w:t>5. Participace a komunitní zapojení</w:t>
      </w:r>
    </w:p>
    <w:p>
      <w:pPr>
        <w:pStyle w:val="ListBullet"/>
      </w:pPr>
      <w:r>
        <w:t>Podpora aktivního zapojení členů, rodičů a místních aktérů do rozhodování a činností organizace.</w:t>
      </w:r>
    </w:p>
    <w:p>
      <w:pPr>
        <w:pStyle w:val="ListBullet"/>
      </w:pPr>
      <w:r>
        <w:t>Posilování občanských kompetencí a pocitu zodpovědnosti za vlastní komunitu.</w:t>
      </w:r>
    </w:p>
    <w:p>
      <w:pPr>
        <w:pStyle w:val="ListBullet"/>
      </w:pPr>
      <w:r>
        <w:t>Spolupráce s místními organizacemi, školami a obcemi.</w:t>
      </w:r>
    </w:p>
    <w:p>
      <w:pPr>
        <w:pStyle w:val="Heading2"/>
      </w:pPr>
      <w:r>
        <w:t>6. Udržitelnost a strategický rozvoj</w:t>
      </w:r>
    </w:p>
    <w:p>
      <w:pPr>
        <w:pStyle w:val="ListBullet"/>
      </w:pPr>
      <w:r>
        <w:t>Plnění strategického plánu organizace (2025–2029) a jeho klíčových priorit.</w:t>
      </w:r>
    </w:p>
    <w:p>
      <w:pPr>
        <w:pStyle w:val="ListBullet"/>
      </w:pPr>
      <w:r>
        <w:t>Zodpovědné nakládání se zdroji, podpora ekologicky šetrných řešení.</w:t>
      </w:r>
    </w:p>
    <w:p>
      <w:pPr>
        <w:pStyle w:val="ListBullet"/>
      </w:pPr>
      <w:r>
        <w:t>Rozvoj organizace podle doporučených metodik a příruček pro řízení a kvalitu.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